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sz w:val="21"/>
          <w:szCs w:val="21"/>
          <w:lang w:eastAsia="zh-CN"/>
        </w:rPr>
        <w:t>深圳市</w:t>
      </w:r>
      <w:r>
        <w:rPr>
          <w:rFonts w:cs="黑体" w:asciiTheme="minorEastAsia" w:hAnsiTheme="minorEastAsia" w:eastAsiaTheme="minorEastAsia"/>
          <w:sz w:val="21"/>
          <w:szCs w:val="21"/>
        </w:rPr>
        <w:t>室内环境</w:t>
      </w:r>
      <w:bookmarkStart w:id="0" w:name="_GoBack"/>
      <w:bookmarkEnd w:id="0"/>
      <w:r>
        <w:rPr>
          <w:rFonts w:cs="黑体" w:asciiTheme="minorEastAsia" w:hAnsiTheme="minorEastAsia" w:eastAsiaTheme="minorEastAsia"/>
          <w:sz w:val="21"/>
          <w:szCs w:val="21"/>
        </w:rPr>
        <w:t>净化治理服务合同范本</w:t>
      </w:r>
    </w:p>
    <w:p>
      <w:pPr>
        <w:spacing w:after="0"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500"/>
        </w:tabs>
        <w:spacing w:after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cs="黑体" w:asciiTheme="minorEastAsia" w:hAnsiTheme="minorEastAsia" w:eastAsiaTheme="minorEastAsia"/>
          <w:sz w:val="21"/>
          <w:szCs w:val="21"/>
        </w:rPr>
        <w:t>A.1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cs="宋体" w:asciiTheme="minorEastAsia" w:hAnsiTheme="minorEastAsia" w:eastAsiaTheme="minorEastAsia"/>
          <w:sz w:val="21"/>
          <w:szCs w:val="21"/>
        </w:rPr>
        <w:t>《室内环境净化治理服务合同范本》如下所示。</w:t>
      </w:r>
    </w:p>
    <w:p>
      <w:pPr>
        <w:spacing w:after="0" w:line="360" w:lineRule="auto"/>
        <w:ind w:left="42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187325</wp:posOffset>
                </wp:positionV>
                <wp:extent cx="31343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60" cy="0"/>
                        </a:xfrm>
                        <a:prstGeom prst="line">
                          <a:avLst/>
                        </a:prstGeom>
                        <a:ln w="76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95pt;margin-top:14.75pt;height:0pt;width:246.8pt;z-index:251653120;mso-width-relative:page;mso-height-relative:page;" filled="f" stroked="t" coordsize="21600,21600" o:allowincell="f" o:gfxdata="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4h4YfXAAAACQEAAA8AAAAAAAAA&#10;AQAgAAAAIgAAAGRycy9kb3ducmV2LnhtbFBLAQIUABQAAAAIAIdO4kDkTNLq2QEAAJYDAAAOAAAA&#10;AAAAAAEAIAAAACYBAABkcnMvZTJvRG9jLnhtbFBLBQYAAAAABgAGAFkBAABxBQAAAAA=&#10;">
                <v:fill on="f" focussize="0,0"/>
                <v:stroke weight="0.59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inorEastAsia" w:hAnsiTheme="minorEastAsia" w:eastAsiaTheme="minorEastAsia"/>
          <w:sz w:val="21"/>
          <w:szCs w:val="21"/>
        </w:rPr>
        <w:t>委托方（甲方）：</w:t>
      </w:r>
    </w:p>
    <w:p>
      <w:pPr>
        <w:spacing w:after="0" w:line="360" w:lineRule="auto"/>
        <w:ind w:left="42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200660</wp:posOffset>
                </wp:positionV>
                <wp:extent cx="31343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6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45pt;margin-top:15.8pt;height:0pt;width:246.8pt;z-index:251654144;mso-width-relative:page;mso-height-relative:page;" filled="f" stroked="t" coordsize="21600,21600" o:allowincell="f" o:gfxdata="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NxaF9cAAAAJAQAADwAAAAAAAAAB&#10;ACAAAAAiAAAAZHJzL2Rvd25yZXYueG1sUEsBAhQAFAAAAAgAh07iQGhANYbYAQAAlgMAAA4AAAAA&#10;AAAAAQAgAAAAJg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inorEastAsia" w:hAnsiTheme="minorEastAsia" w:eastAsiaTheme="minorEastAsia"/>
          <w:sz w:val="21"/>
          <w:szCs w:val="21"/>
        </w:rPr>
        <w:t>治理方（乙方）：</w:t>
      </w:r>
    </w:p>
    <w:p>
      <w:pPr>
        <w:spacing w:after="0" w:line="360" w:lineRule="auto"/>
        <w:ind w:left="42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172720</wp:posOffset>
                </wp:positionV>
                <wp:extent cx="33991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  <a:ln w="76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6pt;margin-top:13.6pt;height:0pt;width:267.65pt;z-index:251655168;mso-width-relative:page;mso-height-relative:page;" filled="f" stroked="t" coordsize="21600,21600" o:allowincell="f" o:gfxdata="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HN/wrXAAAACQEAAA8AAAAAAAAA&#10;AQAgAAAAIgAAAGRycy9kb3ducmV2LnhtbFBLAQIUABQAAAAIAIdO4kCXbhZe2QEAAJYDAAAOAAAA&#10;AAAAAAEAIAAAACYBAABkcnMvZTJvRG9jLnhtbFBLBQYAAAAABgAGAFkBAABxBQAAAAA=&#10;">
                <v:fill on="f" focussize="0,0"/>
                <v:stroke weight="0.59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inorEastAsia" w:hAnsiTheme="minorEastAsia" w:eastAsiaTheme="minorEastAsia"/>
          <w:sz w:val="21"/>
          <w:szCs w:val="21"/>
        </w:rPr>
        <w:t>乙方开户行：</w:t>
      </w:r>
    </w:p>
    <w:p>
      <w:pPr>
        <w:spacing w:after="0" w:line="360" w:lineRule="auto"/>
        <w:ind w:left="42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170815</wp:posOffset>
                </wp:positionV>
                <wp:extent cx="3533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  <a:ln w="76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3.45pt;height:0pt;width:278.2pt;z-index:251656192;mso-width-relative:page;mso-height-relative:page;" filled="f" stroked="t" coordsize="21600,21600" o:allowincell="f" o:gfxdata="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Oeic9cAAAAJAQAADwAAAAAA&#10;AAABACAAAAAiAAAAZHJzL2Rvd25yZXYueG1sUEsBAhQAFAAAAAgAh07iQMtdBWXbAQAAlgMAAA4A&#10;AAAAAAAAAQAgAAAAJgEAAGRycy9lMm9Eb2MueG1sUEsFBgAAAAAGAAYAWQEAAHMFAAAAAA==&#10;">
                <v:fill on="f" focussize="0,0"/>
                <v:stroke weight="0.59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 w:asciiTheme="minorEastAsia" w:hAnsiTheme="minorEastAsia" w:eastAsiaTheme="minorEastAsia"/>
          <w:sz w:val="21"/>
          <w:szCs w:val="21"/>
        </w:rPr>
        <w:t>乙方账号：</w:t>
      </w:r>
    </w:p>
    <w:p>
      <w:pPr>
        <w:spacing w:after="0" w:line="360" w:lineRule="auto"/>
        <w:ind w:firstLine="42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cs="宋体" w:asciiTheme="minorEastAsia" w:hAnsiTheme="minorEastAsia" w:eastAsiaTheme="minorEastAsia"/>
          <w:sz w:val="21"/>
          <w:szCs w:val="21"/>
        </w:rPr>
        <w:t>根据《中华人民共和国合同法》及有关法律法规的规定，甲乙双方在平等、自愿的基础上，经协商一致，就室内环境净化治理服务事项达成以下协议。</w:t>
      </w:r>
    </w:p>
    <w:tbl>
      <w:tblPr>
        <w:tblStyle w:val="2"/>
        <w:tblW w:w="8720" w:type="dxa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160"/>
        <w:gridCol w:w="120"/>
        <w:gridCol w:w="100"/>
        <w:gridCol w:w="1124"/>
        <w:gridCol w:w="16"/>
        <w:gridCol w:w="20"/>
        <w:gridCol w:w="140"/>
        <w:gridCol w:w="280"/>
        <w:gridCol w:w="200"/>
        <w:gridCol w:w="220"/>
        <w:gridCol w:w="820"/>
        <w:gridCol w:w="540"/>
        <w:gridCol w:w="20"/>
        <w:gridCol w:w="860"/>
        <w:gridCol w:w="1060"/>
        <w:gridCol w:w="480"/>
        <w:gridCol w:w="720"/>
        <w:gridCol w:w="120"/>
        <w:gridCol w:w="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40" w:type="dxa"/>
            <w:gridSpan w:val="6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第一条  室内环境净化治理概况</w:t>
            </w: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40" w:type="dxa"/>
            <w:gridSpan w:val="15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（一）治理标的物类别（请在选择项中打“√”）：</w:t>
            </w: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□商务办公楼（室）</w:t>
            </w: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bottom"/>
          </w:tcPr>
          <w:p>
            <w:pPr>
              <w:spacing w:after="0" w:line="360" w:lineRule="auto"/>
              <w:ind w:left="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家庭</w:t>
            </w:r>
          </w:p>
        </w:tc>
        <w:tc>
          <w:tcPr>
            <w:tcW w:w="1420" w:type="dxa"/>
            <w:gridSpan w:val="3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医院</w:t>
            </w: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ind w:left="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厂房</w:t>
            </w:r>
          </w:p>
        </w:tc>
        <w:tc>
          <w:tcPr>
            <w:tcW w:w="1420" w:type="dxa"/>
            <w:gridSpan w:val="4"/>
            <w:vAlign w:val="bottom"/>
          </w:tcPr>
          <w:p>
            <w:pPr>
              <w:spacing w:after="0" w:line="360" w:lineRule="auto"/>
              <w:ind w:left="2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学校</w:t>
            </w:r>
          </w:p>
        </w:tc>
        <w:tc>
          <w:tcPr>
            <w:tcW w:w="1360" w:type="dxa"/>
            <w:gridSpan w:val="4"/>
            <w:vAlign w:val="bottom"/>
          </w:tcPr>
          <w:p>
            <w:pPr>
              <w:spacing w:after="0" w:line="360" w:lineRule="auto"/>
              <w:ind w:left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公共场所</w:t>
            </w: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vAlign w:val="bottom"/>
          </w:tcPr>
          <w:p>
            <w:pPr>
              <w:spacing w:after="0" w:line="360" w:lineRule="auto"/>
              <w:ind w:left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w w:val="96"/>
                <w:sz w:val="21"/>
                <w:szCs w:val="21"/>
              </w:rPr>
              <w:t>□ 公共建筑</w:t>
            </w: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ind w:left="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汽车</w:t>
            </w:r>
          </w:p>
        </w:tc>
        <w:tc>
          <w:tcPr>
            <w:tcW w:w="2480" w:type="dxa"/>
            <w:gridSpan w:val="5"/>
            <w:vAlign w:val="bottom"/>
          </w:tcPr>
          <w:p>
            <w:pPr>
              <w:spacing w:after="0" w:line="360" w:lineRule="auto"/>
              <w:ind w:left="8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40" w:type="dxa"/>
            <w:gridSpan w:val="6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（二）治理施工地点：</w:t>
            </w: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w w:val="95"/>
                <w:sz w:val="21"/>
                <w:szCs w:val="21"/>
              </w:rPr>
              <w:t>市</w:t>
            </w:r>
          </w:p>
        </w:tc>
        <w:tc>
          <w:tcPr>
            <w:tcW w:w="1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w w:val="99"/>
                <w:sz w:val="21"/>
                <w:szCs w:val="21"/>
              </w:rPr>
              <w:t>区（县）</w:t>
            </w: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300" w:type="dxa"/>
            <w:gridSpan w:val="16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（三）治理前污染情况及物品使用情况描述（请在选择项中打“√”）：</w:t>
            </w: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300" w:type="dxa"/>
            <w:gridSpan w:val="8"/>
            <w:vAlign w:val="bottom"/>
          </w:tcPr>
          <w:p>
            <w:pPr>
              <w:spacing w:after="0" w:line="360" w:lineRule="auto"/>
              <w:ind w:left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1.治理前是否通过检测：□ 是</w:t>
            </w:r>
          </w:p>
        </w:tc>
        <w:tc>
          <w:tcPr>
            <w:tcW w:w="2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vAlign w:val="bottom"/>
          </w:tcPr>
          <w:p>
            <w:pPr>
              <w:spacing w:after="0" w:line="360" w:lineRule="auto"/>
              <w:ind w:left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□ 否</w:t>
            </w: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124" w:type="dxa"/>
            <w:gridSpan w:val="5"/>
            <w:vAlign w:val="bottom"/>
          </w:tcPr>
          <w:p>
            <w:pPr>
              <w:spacing w:after="0" w:line="360" w:lineRule="auto"/>
              <w:ind w:left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. 治理前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检测机构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（全称）：</w:t>
            </w:r>
          </w:p>
        </w:tc>
        <w:tc>
          <w:tcPr>
            <w:tcW w:w="17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820" w:type="dxa"/>
            <w:gridSpan w:val="12"/>
            <w:vAlign w:val="bottom"/>
          </w:tcPr>
          <w:p>
            <w:pPr>
              <w:spacing w:after="0" w:line="360" w:lineRule="auto"/>
              <w:ind w:left="420"/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3.治理前超标点检测结果（摘要）：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        </w:t>
            </w: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00" w:type="dxa"/>
            <w:gridSpan w:val="3"/>
            <w:vAlign w:val="bottom"/>
          </w:tcPr>
          <w:p>
            <w:pPr>
              <w:spacing w:after="0" w:line="360" w:lineRule="auto"/>
              <w:ind w:left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.治理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产品名称</w:t>
            </w:r>
          </w:p>
        </w:tc>
        <w:tc>
          <w:tcPr>
            <w:tcW w:w="12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17145</wp:posOffset>
                      </wp:positionV>
                      <wp:extent cx="3133725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75pt;margin-top:1.35pt;height:0pt;width:246.75pt;z-index:251657216;mso-width-relative:page;mso-height-relative:page;" o:connectortype="straight" filled="f" stroked="t" coordsize="21600,21600" o:gfxdata="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fw8btQAAAAGAQAADwAA&#10;AAAAAAABACAAAAAiAAAAZHJzL2Rvd25yZXYueG1sUEsBAhQAFAAAAAgAh07iQFMF5hLhAQAAn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w w:val="95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80" w:type="dxa"/>
            <w:gridSpan w:val="9"/>
            <w:vAlign w:val="bottom"/>
          </w:tcPr>
          <w:p>
            <w:pPr>
              <w:spacing w:after="0" w:line="360" w:lineRule="auto"/>
              <w:ind w:left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5.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乙方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治理前甲方物品有无损坏</w:t>
            </w:r>
            <w:r>
              <w:rPr>
                <w:rFonts w:cs="宋体" w:asciiTheme="minorEastAsia" w:hAnsiTheme="minorEastAsia" w:eastAsiaTheme="minorEastAsia"/>
                <w:w w:val="99"/>
                <w:sz w:val="21"/>
                <w:szCs w:val="21"/>
              </w:rPr>
              <w:t>：</w:t>
            </w:r>
          </w:p>
        </w:tc>
        <w:tc>
          <w:tcPr>
            <w:tcW w:w="12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after="0" w:line="360" w:lineRule="auto"/>
        <w:ind w:left="42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（四）治理项目：</w:t>
      </w:r>
    </w:p>
    <w:p>
      <w:pPr>
        <w:spacing w:after="0" w:line="360" w:lineRule="auto"/>
        <w:ind w:left="84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1.甲醛、苯、甲苯、二甲苯；</w:t>
      </w:r>
    </w:p>
    <w:p>
      <w:pPr>
        <w:spacing w:after="0" w:line="360" w:lineRule="auto"/>
        <w:ind w:left="84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140335</wp:posOffset>
                </wp:positionV>
                <wp:extent cx="13995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ln w="76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1.05pt;height:0pt;width:110.2pt;z-index:251658240;mso-width-relative:page;mso-height-relative:page;" filled="f" stroked="t" coordsize="21600,21600" o:allowincell="f" o:gfxdata="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heKEzXAAAACQEAAA8AAAAAAAAA&#10;AQAgAAAAIgAAAGRycy9kb3ducmV2LnhtbFBLAQIUABQAAAAIAIdO4kCNmlT42QEAAJYDAAAOAAAA&#10;AAAAAAEAIAAAACYBAABkcnMvZTJvRG9jLnhtbFBLBQYAAAAABgAGAFkBAABxBQAAAAA=&#10;">
                <v:fill on="f" focussize="0,0"/>
                <v:stroke weight="0.59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w:t>2.其他</w:t>
      </w:r>
    </w:p>
    <w:tbl>
      <w:tblPr>
        <w:tblStyle w:val="2"/>
        <w:tblW w:w="4420" w:type="dxa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720"/>
        <w:gridCol w:w="220"/>
        <w:gridCol w:w="640"/>
        <w:gridCol w:w="200"/>
        <w:gridCol w:w="64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00" w:type="dxa"/>
            <w:gridSpan w:val="2"/>
            <w:vAlign w:val="bottom"/>
          </w:tcPr>
          <w:p>
            <w:pPr>
              <w:spacing w:after="0" w:line="360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二</w:t>
            </w: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 xml:space="preserve">条  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治理施工期限</w:t>
            </w: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ind w:left="414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开工日期：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</w:p>
        </w:tc>
        <w:tc>
          <w:tcPr>
            <w:tcW w:w="6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ind w:left="414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竣工日期：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</w:p>
        </w:tc>
        <w:tc>
          <w:tcPr>
            <w:tcW w:w="6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三</w:t>
            </w: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 xml:space="preserve">条  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验收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3860"/>
        </w:tabs>
        <w:spacing w:after="0" w:line="360" w:lineRule="auto"/>
        <w:ind w:firstLine="300" w:firstLineChars="15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168275</wp:posOffset>
                </wp:positionV>
                <wp:extent cx="4660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5pt;margin-top:13.25pt;height:0pt;width:36.7pt;z-index:251658240;mso-width-relative:page;mso-height-relative:page;" filled="f" stroked="t" coordsize="21600,21600" o:allowincell="f" o:gfxdata="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Dqaa1gAAAAkBAAAPAAAAAAAAAAEA&#10;IAAAACIAAABkcnMvZG93bnJldi54bWxQSwECFAAUAAAACACHTuJAyjq0kNgBAACVAwAADgAAAAAA&#10;AAABACAAAAAlAQAAZHJzL2Uyb0RvYy54bWxQSwUGAAAAAAYABgBZAQAAbw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w:t>（一）验收标准：治理竣工后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日后按照国家标准：</w:t>
      </w:r>
    </w:p>
    <w:p>
      <w:pPr>
        <w:numPr>
          <w:ilvl w:val="0"/>
          <w:numId w:val="1"/>
        </w:numPr>
        <w:tabs>
          <w:tab w:val="left" w:pos="740"/>
        </w:tabs>
        <w:spacing w:after="0" w:line="360" w:lineRule="auto"/>
        <w:ind w:left="740" w:hanging="3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《民用建筑工程室内环境污染控制规范》GB50325-2010；</w:t>
      </w:r>
    </w:p>
    <w:p>
      <w:pPr>
        <w:numPr>
          <w:ilvl w:val="0"/>
          <w:numId w:val="1"/>
        </w:numPr>
        <w:tabs>
          <w:tab w:val="left" w:pos="740"/>
        </w:tabs>
        <w:spacing w:after="0" w:line="360" w:lineRule="auto"/>
        <w:ind w:left="740" w:hanging="3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《室内空气质量标准》GB/T18883-2002；</w:t>
      </w:r>
    </w:p>
    <w:tbl>
      <w:tblPr>
        <w:tblStyle w:val="2"/>
        <w:tblW w:w="6820" w:type="dxa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50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4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的要求进行验收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14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（二）验收方式（请在选择项中打“√”）：</w:t>
            </w:r>
          </w:p>
        </w:tc>
        <w:tc>
          <w:tcPr>
            <w:tcW w:w="168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200"/>
        </w:tabs>
        <w:spacing w:after="0" w:line="360" w:lineRule="auto"/>
        <w:ind w:left="1200" w:hanging="3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由乙方免费提供本公司现场快速检测设备验收 。</w:t>
      </w:r>
    </w:p>
    <w:tbl>
      <w:tblPr>
        <w:tblStyle w:val="2"/>
        <w:tblW w:w="8920" w:type="dxa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220"/>
        <w:gridCol w:w="200"/>
        <w:gridCol w:w="320"/>
        <w:gridCol w:w="320"/>
        <w:gridCol w:w="2300"/>
        <w:gridCol w:w="84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40" w:type="dxa"/>
            <w:gridSpan w:val="4"/>
            <w:vAlign w:val="bottom"/>
          </w:tcPr>
          <w:p>
            <w:pPr>
              <w:spacing w:after="0" w:line="360" w:lineRule="auto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由第三方检测机构检测验收，检测单位：</w:t>
            </w:r>
          </w:p>
        </w:tc>
        <w:tc>
          <w:tcPr>
            <w:tcW w:w="3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720" w:type="dxa"/>
            <w:gridSpan w:val="3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（三）验收结果（请在选择项中打“√”）：</w:t>
            </w:r>
          </w:p>
        </w:tc>
        <w:tc>
          <w:tcPr>
            <w:tcW w:w="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0" w:type="dxa"/>
            <w:gridSpan w:val="4"/>
            <w:vAlign w:val="bottom"/>
          </w:tcPr>
          <w:p>
            <w:pPr>
              <w:spacing w:after="0" w:line="360" w:lineRule="auto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检测结果完全达到国家标准，并保证</w:t>
            </w:r>
          </w:p>
        </w:tc>
        <w:tc>
          <w:tcPr>
            <w:tcW w:w="3880" w:type="dxa"/>
            <w:gridSpan w:val="4"/>
            <w:vAlign w:val="bottom"/>
          </w:tcPr>
          <w:p>
            <w:pPr>
              <w:spacing w:after="0" w:line="360" w:lineRule="auto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年内不反弹。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30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520" w:type="dxa"/>
            <w:gridSpan w:val="2"/>
            <w:vAlign w:val="bottom"/>
          </w:tcPr>
          <w:p>
            <w:pPr>
              <w:spacing w:after="0" w:line="360" w:lineRule="auto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□</w:t>
            </w:r>
            <w:r>
              <w:rPr>
                <w:rFonts w:cs="宋体" w:asciiTheme="minorEastAsia" w:hAnsiTheme="minorEastAsia" w:eastAsiaTheme="minorEastAsia"/>
                <w:w w:val="99"/>
                <w:sz w:val="21"/>
                <w:szCs w:val="21"/>
              </w:rPr>
              <w:t xml:space="preserve"> 检测结果接近国家标准（具体约定值：</w:t>
            </w:r>
          </w:p>
        </w:tc>
        <w:tc>
          <w:tcPr>
            <w:tcW w:w="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）。</w:t>
            </w:r>
          </w:p>
        </w:tc>
      </w:tr>
    </w:tbl>
    <w:p>
      <w:pPr>
        <w:spacing w:after="0" w:line="360" w:lineRule="auto"/>
        <w:rPr>
          <w:sz w:val="20"/>
          <w:szCs w:val="20"/>
        </w:rPr>
      </w:pP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（四）甲方在委托第三方检测前必须提前通知乙方来现场共同关闭门窗，开启环境温度调节设备。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（五）如甲方委托第三方检测，检测合格费用由甲方自行承担，如检测不合格，不合格项目的检测</w:t>
      </w:r>
    </w:p>
    <w:p>
      <w:pPr>
        <w:spacing w:after="0" w:line="360" w:lineRule="auto"/>
        <w:ind w:left="84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费由乙方承担。</w:t>
      </w:r>
    </w:p>
    <w:p>
      <w:pPr>
        <w:spacing w:after="0" w:line="360" w:lineRule="auto"/>
        <w:ind w:left="840" w:right="100" w:hanging="587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（六）因为环境温度不在本次治理方案内，所以第三方检测如采用 GB/T18883-2002 标准验收时，甲方必须自行解决环境温度问题，环境温度必须达到国家标准 GB/T18883-2002 的相关要求: 1、夏季打开空调设备：22—28℃ ；冬季打开采暖设备：16---24℃，否则第三方检测结果无效。</w:t>
      </w:r>
    </w:p>
    <w:p>
      <w:pPr>
        <w:spacing w:after="0" w:line="360" w:lineRule="auto"/>
        <w:ind w:left="88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2、第三方检测前甲方必须提前通知乙方，由甲乙双方共同关闭被检测房间门窗，确保关闭</w:t>
      </w:r>
    </w:p>
    <w:p>
      <w:pPr>
        <w:spacing w:after="0" w:line="360" w:lineRule="auto"/>
        <w:ind w:left="122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时间为 12 小时。</w:t>
      </w:r>
    </w:p>
    <w:p>
      <w:pPr>
        <w:spacing w:after="0" w:line="360" w:lineRule="auto"/>
        <w:ind w:left="26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（七）第三方检测单位要求：</w:t>
      </w:r>
    </w:p>
    <w:p>
      <w:pPr>
        <w:spacing w:after="0" w:line="360" w:lineRule="auto"/>
        <w:ind w:left="900" w:right="100" w:hanging="11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如约定第三方检测单位验收时，检测单位必须取得质量技术监督局 CMA 计量认证，否则属于无效检测，检测结果不予认同。</w:t>
      </w:r>
    </w:p>
    <w:p>
      <w:pPr>
        <w:tabs>
          <w:tab w:val="left" w:pos="1080"/>
        </w:tabs>
        <w:spacing w:after="0" w:line="360" w:lineRule="auto"/>
        <w:ind w:left="260"/>
        <w:rPr>
          <w:sz w:val="20"/>
          <w:szCs w:val="20"/>
        </w:rPr>
      </w:pPr>
      <w:r>
        <w:rPr>
          <w:rFonts w:ascii="黑体" w:hAnsi="黑体" w:eastAsia="黑体" w:cs="黑体"/>
          <w:sz w:val="21"/>
          <w:szCs w:val="21"/>
        </w:rPr>
        <w:t>第四条</w:t>
      </w:r>
      <w:r>
        <w:rPr>
          <w:rFonts w:ascii="黑体" w:hAnsi="黑体" w:eastAsia="黑体" w:cs="黑体"/>
          <w:sz w:val="21"/>
          <w:szCs w:val="21"/>
        </w:rPr>
        <w:tab/>
      </w:r>
      <w:r>
        <w:rPr>
          <w:rFonts w:ascii="黑体" w:hAnsi="黑体" w:eastAsia="黑体" w:cs="黑体"/>
          <w:sz w:val="21"/>
          <w:szCs w:val="21"/>
        </w:rPr>
        <w:t>合同价款及支付方式</w:t>
      </w:r>
    </w:p>
    <w:tbl>
      <w:tblPr>
        <w:tblStyle w:val="2"/>
        <w:tblW w:w="6620" w:type="dxa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820"/>
        <w:gridCol w:w="840"/>
        <w:gridCol w:w="840"/>
        <w:gridCol w:w="540"/>
        <w:gridCol w:w="84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00" w:type="dxa"/>
            <w:vAlign w:val="bottom"/>
          </w:tcPr>
          <w:p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（一）本合同价款按</w:t>
            </w: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元/平方米，施工面积为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平方米；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00" w:type="dxa"/>
            <w:vAlign w:val="bottom"/>
          </w:tcPr>
          <w:p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共计人民币：</w:t>
            </w:r>
          </w:p>
        </w:tc>
        <w:tc>
          <w:tcPr>
            <w:tcW w:w="8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元，大写</w:t>
            </w:r>
          </w:p>
        </w:tc>
        <w:tc>
          <w:tcPr>
            <w:tcW w:w="138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元整。</w:t>
            </w: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0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00" w:type="dxa"/>
            <w:gridSpan w:val="4"/>
            <w:vAlign w:val="bottom"/>
          </w:tcPr>
          <w:p>
            <w:pPr>
              <w:spacing w:after="0"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（二）支付方式（请在选择项中打“√”）：</w:t>
            </w:r>
          </w:p>
        </w:tc>
        <w:tc>
          <w:tcPr>
            <w:tcW w:w="5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1200"/>
        </w:tabs>
        <w:spacing w:after="0" w:line="360" w:lineRule="auto"/>
        <w:ind w:left="1200" w:hanging="3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家庭 治理结束后当日内一次性付清。</w:t>
      </w:r>
    </w:p>
    <w:tbl>
      <w:tblPr>
        <w:tblStyle w:val="2"/>
        <w:tblW w:w="8320" w:type="dxa"/>
        <w:tblInd w:w="8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40"/>
        <w:gridCol w:w="2980"/>
        <w:gridCol w:w="1480"/>
        <w:gridCol w:w="2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060" w:type="dxa"/>
            <w:gridSpan w:val="4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工程 本合同签订后，甲方支付乙方定金人民币</w:t>
            </w:r>
          </w:p>
        </w:tc>
        <w:tc>
          <w:tcPr>
            <w:tcW w:w="226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元，待治理工程验收合格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 w:line="360" w:lineRule="auto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0" w:type="dxa"/>
            <w:vAlign w:val="bottom"/>
          </w:tcPr>
          <w:p>
            <w:pPr>
              <w:spacing w:after="0" w:line="360" w:lineRule="auto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后</w:t>
            </w: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日内付清余款，定金抵做价款或返还。</w:t>
            </w:r>
          </w:p>
        </w:tc>
        <w:tc>
          <w:tcPr>
            <w:tcW w:w="226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4"/>
        </w:numPr>
        <w:tabs>
          <w:tab w:val="left" w:pos="1200"/>
        </w:tabs>
        <w:spacing w:after="0" w:line="360" w:lineRule="auto"/>
        <w:ind w:left="1200" w:hanging="312"/>
        <w:rPr>
          <w:rFonts w:ascii="宋体" w:hAnsi="宋体" w:eastAsia="宋体" w:cs="宋体"/>
          <w:sz w:val="21"/>
          <w:szCs w:val="21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473265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65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25pt;margin-top:14.6pt;height:0pt;width:372.65pt;z-index:251659264;mso-width-relative:page;mso-height-relative:page;" filled="f" stroked="t" coordsize="21600,21600" o:allowincell="f" o:gfxdata="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1T+MNUAAAAJAQAADwAAAAAAAAAB&#10;ACAAAAAiAAAAZHJzL2Rvd25yZXYueG1sUEsBAhQAFAAAAAgAh07iQBeYPjPaAQAAlg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w:t>其他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。</w:t>
      </w:r>
    </w:p>
    <w:tbl>
      <w:tblPr>
        <w:tblStyle w:val="2"/>
        <w:tblW w:w="8080" w:type="dxa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880"/>
        <w:gridCol w:w="1580"/>
        <w:gridCol w:w="2100"/>
        <w:gridCol w:w="9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40" w:type="dxa"/>
            <w:gridSpan w:val="3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（三）结算方式（请在选择项中打“√”）：</w:t>
            </w:r>
          </w:p>
        </w:tc>
        <w:tc>
          <w:tcPr>
            <w:tcW w:w="210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支票</w:t>
            </w:r>
          </w:p>
        </w:tc>
        <w:tc>
          <w:tcPr>
            <w:tcW w:w="1880" w:type="dxa"/>
            <w:vAlign w:val="bottom"/>
          </w:tcPr>
          <w:p>
            <w:pPr>
              <w:spacing w:after="0" w:line="360" w:lineRule="auto"/>
              <w:ind w:left="7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转帐</w:t>
            </w:r>
          </w:p>
        </w:tc>
        <w:tc>
          <w:tcPr>
            <w:tcW w:w="1580" w:type="dxa"/>
            <w:vAlign w:val="bottom"/>
          </w:tcPr>
          <w:p>
            <w:pPr>
              <w:spacing w:after="0" w:line="360" w:lineRule="auto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现金</w:t>
            </w:r>
          </w:p>
        </w:tc>
        <w:tc>
          <w:tcPr>
            <w:tcW w:w="2100" w:type="dxa"/>
            <w:vAlign w:val="bottom"/>
          </w:tcPr>
          <w:p>
            <w:pPr>
              <w:spacing w:after="0" w:line="360" w:lineRule="auto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 不含税</w:t>
            </w:r>
          </w:p>
        </w:tc>
        <w:tc>
          <w:tcPr>
            <w:tcW w:w="940" w:type="dxa"/>
            <w:vAlign w:val="bottom"/>
          </w:tcPr>
          <w:p>
            <w:pPr>
              <w:spacing w:after="0" w:line="360" w:lineRule="auto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□ 含税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80" w:type="dxa"/>
            <w:vAlign w:val="bottom"/>
          </w:tcPr>
          <w:p>
            <w:pPr>
              <w:spacing w:after="0" w:line="360" w:lineRule="auto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□ 其他：</w:t>
            </w:r>
          </w:p>
        </w:tc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</w:tbl>
    <w:p>
      <w:pPr>
        <w:spacing w:after="0" w:line="360" w:lineRule="auto"/>
        <w:rPr>
          <w:sz w:val="20"/>
          <w:szCs w:val="20"/>
        </w:rPr>
      </w:pPr>
    </w:p>
    <w:p>
      <w:pPr>
        <w:tabs>
          <w:tab w:val="left" w:pos="1080"/>
        </w:tabs>
        <w:spacing w:after="0" w:line="360" w:lineRule="auto"/>
        <w:ind w:left="260"/>
        <w:rPr>
          <w:sz w:val="20"/>
          <w:szCs w:val="20"/>
        </w:rPr>
      </w:pPr>
      <w:r>
        <w:rPr>
          <w:rFonts w:ascii="黑体" w:hAnsi="黑体" w:eastAsia="黑体" w:cs="黑体"/>
          <w:sz w:val="21"/>
          <w:szCs w:val="21"/>
        </w:rPr>
        <w:t>第五条</w:t>
      </w:r>
      <w:r>
        <w:rPr>
          <w:sz w:val="20"/>
          <w:szCs w:val="20"/>
        </w:rPr>
        <w:tab/>
      </w:r>
      <w:r>
        <w:rPr>
          <w:rFonts w:ascii="黑体" w:hAnsi="黑体" w:eastAsia="黑体" w:cs="黑体"/>
          <w:sz w:val="20"/>
          <w:szCs w:val="20"/>
        </w:rPr>
        <w:t>双方权利义务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（一）甲方应当确保治理施工场所的供水、供电正常，提前清理好现场垃圾等，保证乙方可以一次</w:t>
      </w:r>
    </w:p>
    <w:p>
      <w:pPr>
        <w:spacing w:after="0" w:line="360" w:lineRule="auto"/>
        <w:ind w:left="88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性施工完毕。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（二）甲方应当配合乙方治理施工的工艺及操作要求，不擅自改变治理施工场所的密闭或通风</w:t>
      </w:r>
    </w:p>
    <w:p>
      <w:pPr>
        <w:spacing w:after="0" w:line="360" w:lineRule="auto"/>
        <w:ind w:left="88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状态；不擅自变动治理施工场所内的固定及移动设备。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（三）甲方应当妥善保护乙方放置的治理设备，不挪作他用，不擅自移位、变更用途、关闭或启动</w:t>
      </w:r>
    </w:p>
    <w:p>
      <w:pPr>
        <w:spacing w:after="0" w:line="360" w:lineRule="auto"/>
        <w:ind w:left="88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电源。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（四）甲方应当确保检测验收时室内空间物的名称、数量与治理施工时的实际情况相一致。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（五）乙方合法拥有室内环境治理施工的相关证明文件。治理施工人员应当持有治理上岗证。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（六）乙方应当使用质量合格的治理产品，并向甲方出示该治理产品的合法检测报告。</w:t>
      </w:r>
    </w:p>
    <w:p>
      <w:pPr>
        <w:spacing w:after="0" w:line="360" w:lineRule="auto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（七）乙方应当文明、安全施工，不损坏甲方治理施工场所内的固定装修、固定及移动设备。</w:t>
      </w:r>
    </w:p>
    <w:p>
      <w:pPr>
        <w:tabs>
          <w:tab w:val="left" w:pos="1080"/>
        </w:tabs>
        <w:spacing w:after="0" w:line="360" w:lineRule="auto"/>
        <w:ind w:left="260"/>
        <w:rPr>
          <w:sz w:val="20"/>
          <w:szCs w:val="20"/>
        </w:rPr>
      </w:pPr>
      <w:r>
        <w:rPr>
          <w:rFonts w:ascii="黑体" w:hAnsi="黑体" w:eastAsia="黑体" w:cs="黑体"/>
          <w:sz w:val="21"/>
          <w:szCs w:val="21"/>
        </w:rPr>
        <w:t>第六条</w:t>
      </w:r>
      <w:r>
        <w:rPr>
          <w:sz w:val="20"/>
          <w:szCs w:val="20"/>
        </w:rPr>
        <w:tab/>
      </w:r>
      <w:r>
        <w:rPr>
          <w:rFonts w:ascii="黑体" w:hAnsi="黑体" w:eastAsia="黑体" w:cs="黑体"/>
          <w:sz w:val="20"/>
          <w:szCs w:val="20"/>
        </w:rPr>
        <w:t>违约责任</w:t>
      </w:r>
    </w:p>
    <w:p>
      <w:pPr>
        <w:tabs>
          <w:tab w:val="left" w:pos="6740"/>
        </w:tabs>
        <w:spacing w:after="0" w:line="360" w:lineRule="auto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（一）甲方逾期未支付价款的，每逾期一天应按未支付金额的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％向乙方支付违约金。</w:t>
      </w:r>
    </w:p>
    <w:p>
      <w:pPr>
        <w:tabs>
          <w:tab w:val="left" w:pos="8080"/>
        </w:tabs>
        <w:spacing w:after="0" w:line="360" w:lineRule="auto"/>
        <w:ind w:firstLine="420" w:firstLineChars="20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（二）因乙方原因造成治理施工未按期竣工的，每逾期一天应按合同价款的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0"/>
          <w:szCs w:val="20"/>
        </w:rPr>
        <w:t>％向甲方支付</w: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3810</wp:posOffset>
                </wp:positionV>
                <wp:extent cx="4679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76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95pt;margin-top:0.3pt;height:0pt;width:36.85pt;z-index:251660288;mso-width-relative:page;mso-height-relative:page;" filled="f" stroked="t" coordsize="21600,21600" o:allowincell="f" o:gfxdata="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asDP1AAAAAUBAAAPAAAAAAAAAAEA&#10;IAAAACIAAABkcnMvZG93bnJldi54bWxQSwECFAAUAAAACACHTuJAStHfn9oBAACVAwAADgAAAAAA&#10;AAABACAAAAAjAQAAZHJzL2Uyb0RvYy54bWxQSwUGAAAAAAYABgBZAQAAbwUAAAAA&#10;">
                <v:fill on="f" focussize="0,0"/>
                <v:stroke weight="0.59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60" w:lineRule="auto"/>
        <w:ind w:left="1040" w:right="10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违约金，甲方有权要求乙方继续施工直至完毕。因施工延期给甲方带来损失的，甲方有权要求乙方赔偿。如治理延期导致甲方无法实现合同目的的，甲方有权解除合同。</w:t>
      </w:r>
    </w:p>
    <w:p>
      <w:pPr>
        <w:spacing w:after="0" w:line="360" w:lineRule="auto"/>
        <w:ind w:left="42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（三）治理质量不符合合同约定的，乙方必须重新免费治理施工并达到合同约定的标准，如无法达到约定标准，乙方必须在 7 个工作日内退还检测不合格房间的治理费用。</w:t>
      </w:r>
    </w:p>
    <w:tbl>
      <w:tblPr>
        <w:tblStyle w:val="2"/>
        <w:tblW w:w="9176" w:type="dxa"/>
        <w:tblInd w:w="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420"/>
        <w:gridCol w:w="420"/>
        <w:gridCol w:w="6620"/>
        <w:gridCol w:w="100"/>
        <w:gridCol w:w="100"/>
        <w:gridCol w:w="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56" w:type="dxa"/>
            <w:gridSpan w:val="4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（四）因甲方原因造成乙方设备损坏的，应承担赔偿责任。</w:t>
            </w: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56" w:type="dxa"/>
            <w:gridSpan w:val="4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（五）因乙方施工造成甲方物品损坏的，由乙方予以赔偿。</w:t>
            </w: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36" w:type="dxa"/>
            <w:gridSpan w:val="3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（六）其他违约责任：</w:t>
            </w:r>
          </w:p>
        </w:tc>
        <w:tc>
          <w:tcPr>
            <w:tcW w:w="6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56" w:type="dxa"/>
            <w:gridSpan w:val="4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第七条  其他约定</w:t>
            </w: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16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（一）售后服务：</w:t>
            </w:r>
          </w:p>
        </w:tc>
        <w:tc>
          <w:tcPr>
            <w:tcW w:w="7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96" w:type="dxa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（二）其他：</w:t>
            </w:r>
          </w:p>
        </w:tc>
        <w:tc>
          <w:tcPr>
            <w:tcW w:w="74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56" w:type="dxa"/>
            <w:gridSpan w:val="4"/>
            <w:vAlign w:val="bottom"/>
          </w:tcPr>
          <w:p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第八条  争议解决方式</w:t>
            </w: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sz w:val="20"/>
          <w:szCs w:val="20"/>
        </w:rPr>
      </w:pPr>
    </w:p>
    <w:p>
      <w:pPr>
        <w:spacing w:after="0" w:line="360" w:lineRule="auto"/>
        <w:ind w:left="42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本合同履行过程中发生争议，由双方协商解决，也可以选择下列方式解决。</w:t>
      </w:r>
    </w:p>
    <w:p>
      <w:pPr>
        <w:spacing w:after="0" w:line="360" w:lineRule="auto"/>
        <w:ind w:left="42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（一）本合同由</w:t>
      </w:r>
      <w:r>
        <w:rPr>
          <w:rFonts w:hint="eastAsia" w:ascii="宋体" w:hAnsi="宋体" w:eastAsia="宋体" w:cs="宋体"/>
          <w:sz w:val="21"/>
          <w:szCs w:val="21"/>
        </w:rPr>
        <w:t>深圳市</w:t>
      </w:r>
      <w:r>
        <w:rPr>
          <w:rFonts w:ascii="宋体" w:hAnsi="宋体" w:eastAsia="宋体" w:cs="宋体"/>
          <w:sz w:val="21"/>
          <w:szCs w:val="21"/>
        </w:rPr>
        <w:t>室内环境</w:t>
      </w:r>
      <w:r>
        <w:rPr>
          <w:rFonts w:hint="eastAsia" w:ascii="宋体" w:hAnsi="宋体" w:eastAsia="宋体" w:cs="宋体"/>
          <w:sz w:val="21"/>
          <w:szCs w:val="21"/>
        </w:rPr>
        <w:t>监测治理</w:t>
      </w:r>
      <w:r>
        <w:rPr>
          <w:rFonts w:ascii="宋体" w:hAnsi="宋体" w:eastAsia="宋体" w:cs="宋体"/>
          <w:sz w:val="21"/>
          <w:szCs w:val="21"/>
        </w:rPr>
        <w:t>行业协会统一制定，如出现任何争议可以向</w:t>
      </w:r>
      <w:r>
        <w:rPr>
          <w:rFonts w:hint="eastAsia" w:ascii="宋体" w:hAnsi="宋体" w:eastAsia="宋体" w:cs="宋体"/>
          <w:sz w:val="21"/>
          <w:szCs w:val="21"/>
        </w:rPr>
        <w:t>深圳市</w:t>
      </w:r>
      <w:r>
        <w:rPr>
          <w:rFonts w:ascii="宋体" w:hAnsi="宋体" w:eastAsia="宋体" w:cs="宋体"/>
          <w:sz w:val="21"/>
          <w:szCs w:val="21"/>
        </w:rPr>
        <w:t>室内环境</w:t>
      </w:r>
      <w:r>
        <w:rPr>
          <w:rFonts w:hint="eastAsia" w:ascii="宋体" w:hAnsi="宋体" w:eastAsia="宋体" w:cs="宋体"/>
          <w:sz w:val="21"/>
          <w:szCs w:val="21"/>
        </w:rPr>
        <w:t>监测治理</w:t>
      </w:r>
      <w:r>
        <w:rPr>
          <w:rFonts w:ascii="宋体" w:hAnsi="宋体" w:eastAsia="宋体" w:cs="宋体"/>
          <w:sz w:val="21"/>
          <w:szCs w:val="21"/>
        </w:rPr>
        <w:t>行业</w:t>
      </w:r>
      <w:r>
        <w:rPr>
          <w:rFonts w:hint="eastAsia" w:ascii="宋体" w:hAnsi="宋体" w:eastAsia="宋体" w:cs="宋体"/>
          <w:sz w:val="21"/>
          <w:szCs w:val="21"/>
        </w:rPr>
        <w:t>协会</w:t>
      </w:r>
      <w:r>
        <w:rPr>
          <w:rFonts w:ascii="宋体" w:hAnsi="宋体" w:eastAsia="宋体" w:cs="宋体"/>
          <w:sz w:val="21"/>
          <w:szCs w:val="21"/>
        </w:rPr>
        <w:t>消费者投诉站进行投诉（投诉电话：07</w:t>
      </w:r>
      <w:r>
        <w:rPr>
          <w:rFonts w:hint="eastAsia" w:ascii="宋体" w:hAnsi="宋体" w:eastAsia="宋体" w:cs="宋体"/>
          <w:sz w:val="21"/>
          <w:szCs w:val="21"/>
        </w:rPr>
        <w:t>55</w:t>
      </w: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85271909</w:t>
      </w:r>
      <w:r>
        <w:rPr>
          <w:rFonts w:ascii="宋体" w:hAnsi="宋体" w:eastAsia="宋体" w:cs="宋体"/>
          <w:sz w:val="21"/>
          <w:szCs w:val="21"/>
        </w:rPr>
        <w:t>）。</w:t>
      </w:r>
    </w:p>
    <w:p>
      <w:pPr>
        <w:spacing w:after="0" w:line="360" w:lineRule="auto"/>
        <w:ind w:left="42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（二）依法向人民法院提起诉讼。</w:t>
      </w:r>
    </w:p>
    <w:p>
      <w:pPr>
        <w:tabs>
          <w:tab w:val="left" w:pos="1240"/>
        </w:tabs>
        <w:spacing w:after="0" w:line="360" w:lineRule="auto"/>
        <w:ind w:left="420"/>
        <w:rPr>
          <w:sz w:val="20"/>
          <w:szCs w:val="20"/>
        </w:rPr>
      </w:pPr>
      <w:r>
        <w:rPr>
          <w:rFonts w:ascii="黑体" w:hAnsi="黑体" w:eastAsia="黑体" w:cs="黑体"/>
          <w:sz w:val="21"/>
          <w:szCs w:val="21"/>
        </w:rPr>
        <w:t>第九条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本合同一式两份，双方各执一份。</w:t>
      </w:r>
    </w:p>
    <w:p>
      <w:pPr>
        <w:spacing w:after="0" w:line="360" w:lineRule="auto"/>
      </w:pPr>
    </w:p>
    <w:p>
      <w:pPr>
        <w:spacing w:after="0" w:line="360" w:lineRule="auto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甲方签字盖章：</w:t>
      </w:r>
      <w:r>
        <w:rPr>
          <w:rFonts w:hint="eastAsia"/>
          <w:sz w:val="20"/>
          <w:szCs w:val="20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方签字盖章：</w:t>
      </w:r>
    </w:p>
    <w:p>
      <w:pPr>
        <w:spacing w:after="0" w:line="360" w:lineRule="auto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委托代表人：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</w:t>
      </w:r>
      <w:r>
        <w:rPr>
          <w:rFonts w:ascii="宋体" w:hAnsi="宋体" w:eastAsia="宋体" w:cs="宋体"/>
          <w:sz w:val="21"/>
          <w:szCs w:val="21"/>
        </w:rPr>
        <w:t>委托代表人：</w:t>
      </w:r>
    </w:p>
    <w:p>
      <w:pPr>
        <w:spacing w:after="0" w:line="360" w:lineRule="auto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电 话：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</w:t>
      </w:r>
      <w:r>
        <w:rPr>
          <w:rFonts w:ascii="宋体" w:hAnsi="宋体" w:eastAsia="宋体" w:cs="宋体"/>
          <w:sz w:val="21"/>
          <w:szCs w:val="21"/>
        </w:rPr>
        <w:t>电 话：</w:t>
      </w:r>
    </w:p>
    <w:p>
      <w:pPr>
        <w:spacing w:after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签 订 时 间：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</w:t>
      </w:r>
      <w:r>
        <w:rPr>
          <w:rFonts w:ascii="宋体" w:hAnsi="宋体" w:eastAsia="宋体" w:cs="宋体"/>
          <w:sz w:val="21"/>
          <w:szCs w:val="21"/>
        </w:rPr>
        <w:t>签 订 时 间：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multilevel"/>
    <w:tmpl w:val="00001547"/>
    <w:lvl w:ilvl="0" w:tentative="0">
      <w:start w:val="1"/>
      <w:numFmt w:val="bullet"/>
      <w:lvlText w:val="□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2D12"/>
    <w:multiLevelType w:val="multilevel"/>
    <w:tmpl w:val="00002D12"/>
    <w:lvl w:ilvl="0" w:tentative="0">
      <w:start w:val="1"/>
      <w:numFmt w:val="bullet"/>
      <w:lvlText w:val="□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39B3"/>
    <w:multiLevelType w:val="multilevel"/>
    <w:tmpl w:val="000039B3"/>
    <w:lvl w:ilvl="0" w:tentative="0">
      <w:start w:val="1"/>
      <w:numFmt w:val="bullet"/>
      <w:lvlText w:val="□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54DE"/>
    <w:multiLevelType w:val="multilevel"/>
    <w:tmpl w:val="000054DE"/>
    <w:lvl w:ilvl="0" w:tentative="0">
      <w:start w:val="1"/>
      <w:numFmt w:val="bullet"/>
      <w:lvlText w:val="□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043F"/>
    <w:rsid w:val="0E3C0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2019-05-05T16:37:00Z</dcterms:created>
  <dc:creator>刘宗勇</dc:creator>
  <cp:lastModifiedBy>刘宗勇</cp:lastModifiedBy>
  <dcterms:modified xsi:type="dcterms:W3CDTF">2019-05-05T17:09:37Z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